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427" w:rsidRDefault="000E5427" w:rsidP="00DB6CE6">
      <w:pPr>
        <w:spacing w:after="0" w:line="240" w:lineRule="auto"/>
      </w:pPr>
      <w:r>
        <w:separator/>
      </w:r>
    </w:p>
  </w:endnote>
  <w:endnote w:type="continuationSeparator" w:id="0">
    <w:p w:rsidR="000E5427" w:rsidRDefault="000E5427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1C2498" w:rsidRDefault="001C24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1F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427" w:rsidRDefault="000E5427" w:rsidP="00DB6CE6">
      <w:pPr>
        <w:spacing w:after="0" w:line="240" w:lineRule="auto"/>
      </w:pPr>
      <w:r>
        <w:separator/>
      </w:r>
    </w:p>
  </w:footnote>
  <w:footnote w:type="continuationSeparator" w:id="0">
    <w:p w:rsidR="000E5427" w:rsidRDefault="000E5427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498" w:rsidRDefault="001C24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  <w:pPrChange w:id="0" w:author="Саламадина Дарья Олеговна" w:date="2017-01-19T19:48:00Z">
        <w:pPr>
          <w:keepNext/>
          <w:keepLines/>
          <w:spacing w:before="60" w:after="120"/>
          <w:jc w:val="center"/>
          <w:outlineLvl w:val="0"/>
        </w:pPr>
      </w:pPrChange>
    </w:pPr>
    <w:rPr>
      <w:rFonts w:ascii="Times New Roman" w:eastAsia="Times New Roman" w:hAnsi="Times New Roman" w:cs="Times New Roman"/>
      <w:b/>
      <w:bCs/>
      <w:sz w:val="32"/>
      <w:szCs w:val="32"/>
      <w:lang w:eastAsia="ru-RU"/>
      <w:rPrChange w:id="0" w:author="Саламадина Дарья Олеговна" w:date="2017-01-19T19:48:00Z">
        <w:rPr>
          <w:b/>
          <w:bCs/>
          <w:sz w:val="32"/>
          <w:szCs w:val="32"/>
          <w:lang w:val="ru-RU" w:eastAsia="ru-RU" w:bidi="ar-SA"/>
        </w:rPr>
      </w:rPrChange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14201-A183-4A82-9577-01A27CDE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91</Pages>
  <Words>44469</Words>
  <Characters>253477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Саламадина Дарья Олеговна</cp:lastModifiedBy>
  <cp:revision>53</cp:revision>
  <cp:lastPrinted>2017-01-20T09:52:00Z</cp:lastPrinted>
  <dcterms:created xsi:type="dcterms:W3CDTF">2016-11-30T14:36:00Z</dcterms:created>
  <dcterms:modified xsi:type="dcterms:W3CDTF">2017-01-20T12:19:00Z</dcterms:modified>
  <cp:category>МР</cp:category>
</cp:coreProperties>
</file>